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2F" w:rsidRPr="0092482F" w:rsidRDefault="0092482F" w:rsidP="0092482F">
      <w:pPr>
        <w:pStyle w:val="Ttulo2"/>
        <w:spacing w:before="0" w:after="0"/>
        <w:ind w:left="2836" w:firstLine="709"/>
        <w:rPr>
          <w:rFonts w:ascii="Times New Roman" w:hAnsi="Times New Roman" w:cs="Times New Roman"/>
          <w:i w:val="0"/>
          <w:sz w:val="22"/>
          <w:szCs w:val="22"/>
        </w:rPr>
      </w:pPr>
      <w:r w:rsidRPr="0092482F">
        <w:rPr>
          <w:rFonts w:ascii="Times New Roman" w:hAnsi="Times New Roman" w:cs="Times New Roman"/>
          <w:i w:val="0"/>
          <w:sz w:val="22"/>
          <w:szCs w:val="22"/>
        </w:rPr>
        <w:t xml:space="preserve">PORTARIA AD </w:t>
      </w:r>
      <w:r w:rsidR="00B26CF3">
        <w:rPr>
          <w:rFonts w:ascii="Times New Roman" w:hAnsi="Times New Roman" w:cs="Times New Roman"/>
          <w:i w:val="0"/>
          <w:sz w:val="22"/>
          <w:szCs w:val="22"/>
        </w:rPr>
        <w:t>222</w:t>
      </w:r>
      <w:r w:rsidRPr="0092482F">
        <w:rPr>
          <w:rFonts w:ascii="Times New Roman" w:hAnsi="Times New Roman" w:cs="Times New Roman"/>
          <w:i w:val="0"/>
          <w:sz w:val="22"/>
          <w:szCs w:val="22"/>
        </w:rPr>
        <w:t>/201</w:t>
      </w:r>
      <w:r w:rsidR="00D824B3">
        <w:rPr>
          <w:rFonts w:ascii="Times New Roman" w:hAnsi="Times New Roman" w:cs="Times New Roman"/>
          <w:i w:val="0"/>
          <w:sz w:val="22"/>
          <w:szCs w:val="22"/>
        </w:rPr>
        <w:t>7</w:t>
      </w:r>
    </w:p>
    <w:p w:rsidR="0092482F" w:rsidRPr="0092482F" w:rsidRDefault="0092482F" w:rsidP="0092482F">
      <w:pPr>
        <w:spacing w:before="120" w:after="120"/>
        <w:ind w:left="4253"/>
        <w:jc w:val="both"/>
        <w:rPr>
          <w:sz w:val="22"/>
          <w:szCs w:val="22"/>
        </w:rPr>
      </w:pPr>
      <w:proofErr w:type="gramStart"/>
      <w:r w:rsidRPr="0092482F">
        <w:rPr>
          <w:sz w:val="22"/>
          <w:szCs w:val="22"/>
        </w:rPr>
        <w:t>Designa empregados</w:t>
      </w:r>
      <w:proofErr w:type="gramEnd"/>
      <w:r w:rsidRPr="0092482F">
        <w:rPr>
          <w:sz w:val="22"/>
          <w:szCs w:val="22"/>
        </w:rPr>
        <w:t xml:space="preserve"> para compor a Comissão Permanente de Licitação.</w:t>
      </w:r>
    </w:p>
    <w:p w:rsidR="0092482F" w:rsidRPr="0092482F" w:rsidRDefault="0092482F" w:rsidP="0092482F">
      <w:pPr>
        <w:spacing w:after="120"/>
        <w:ind w:firstLine="1418"/>
        <w:jc w:val="both"/>
        <w:rPr>
          <w:sz w:val="22"/>
          <w:szCs w:val="22"/>
        </w:rPr>
      </w:pPr>
      <w:r w:rsidRPr="0092482F">
        <w:rPr>
          <w:sz w:val="22"/>
          <w:szCs w:val="22"/>
        </w:rPr>
        <w:t xml:space="preserve">O Presidente do Conselho Regional de Engenharia e Agronomia do Distrito Federal – </w:t>
      </w:r>
      <w:proofErr w:type="gramStart"/>
      <w:r w:rsidRPr="0092482F">
        <w:rPr>
          <w:sz w:val="22"/>
          <w:szCs w:val="22"/>
        </w:rPr>
        <w:t>Crea</w:t>
      </w:r>
      <w:proofErr w:type="gramEnd"/>
      <w:r w:rsidRPr="0092482F">
        <w:rPr>
          <w:sz w:val="22"/>
          <w:szCs w:val="22"/>
        </w:rPr>
        <w:t>-DF, no uso das atribuições que lhe confere o art. 85 do Regimento do Regional, combinado com o art. 34, alínea “k”, da Lei nº 5.194, de 24 de dezembro de 1966, e</w:t>
      </w:r>
    </w:p>
    <w:p w:rsidR="0092482F" w:rsidRPr="0092482F" w:rsidRDefault="0092482F" w:rsidP="0092482F">
      <w:pPr>
        <w:spacing w:after="120"/>
        <w:ind w:firstLine="1418"/>
        <w:jc w:val="both"/>
        <w:rPr>
          <w:sz w:val="22"/>
          <w:szCs w:val="22"/>
        </w:rPr>
      </w:pPr>
      <w:r w:rsidRPr="0092482F">
        <w:rPr>
          <w:sz w:val="22"/>
          <w:szCs w:val="22"/>
        </w:rPr>
        <w:t>Considerando as disposições da Lei nº 8.666, de 21 de junho de 1993, que regulamenta o art. 37, inciso XXI, da Constituição Federal, institui normas para licitações e contratos da Administração Pública e dá outras providências;</w:t>
      </w:r>
    </w:p>
    <w:p w:rsidR="0092482F" w:rsidRPr="0092482F" w:rsidRDefault="0092482F" w:rsidP="0092482F">
      <w:pPr>
        <w:spacing w:after="120"/>
        <w:ind w:firstLine="1418"/>
        <w:jc w:val="both"/>
        <w:rPr>
          <w:sz w:val="22"/>
          <w:szCs w:val="22"/>
        </w:rPr>
      </w:pPr>
      <w:r w:rsidRPr="0092482F">
        <w:rPr>
          <w:sz w:val="22"/>
          <w:szCs w:val="22"/>
        </w:rPr>
        <w:t xml:space="preserve">Considerando que o art. 51 da referida lei estabelece que “a habilitação preliminar, a inscrição em registro cadastral, a sua alteração ou cancelamento, e as propostas serão processadas e julgadas por comissão permanente ou especial de, no mínimo, </w:t>
      </w:r>
      <w:proofErr w:type="gramStart"/>
      <w:r w:rsidRPr="0092482F">
        <w:rPr>
          <w:sz w:val="22"/>
          <w:szCs w:val="22"/>
        </w:rPr>
        <w:t>3</w:t>
      </w:r>
      <w:proofErr w:type="gramEnd"/>
      <w:r w:rsidRPr="0092482F">
        <w:rPr>
          <w:sz w:val="22"/>
          <w:szCs w:val="22"/>
        </w:rPr>
        <w:t xml:space="preserve"> (três) membros, sendo pelo menos 2 (dois) deles servidores qualificados pertencentes aos quadros permanentes dos órgãos da Administração responsáveis pela licitação”;</w:t>
      </w:r>
    </w:p>
    <w:p w:rsidR="0092482F" w:rsidRPr="0092482F" w:rsidRDefault="0092482F" w:rsidP="0092482F">
      <w:pPr>
        <w:tabs>
          <w:tab w:val="left" w:pos="3315"/>
        </w:tabs>
        <w:spacing w:before="120" w:after="120"/>
        <w:ind w:firstLine="1418"/>
        <w:jc w:val="both"/>
        <w:rPr>
          <w:b/>
          <w:sz w:val="22"/>
          <w:szCs w:val="22"/>
        </w:rPr>
      </w:pPr>
      <w:r w:rsidRPr="0092482F">
        <w:rPr>
          <w:b/>
          <w:sz w:val="22"/>
          <w:szCs w:val="22"/>
        </w:rPr>
        <w:t>RESOLVE:</w:t>
      </w:r>
    </w:p>
    <w:p w:rsidR="0092482F" w:rsidRPr="0092482F" w:rsidRDefault="0092482F" w:rsidP="0092482F">
      <w:pPr>
        <w:pStyle w:val="Recuodecorpodetexto2"/>
        <w:spacing w:line="240" w:lineRule="auto"/>
        <w:ind w:left="0" w:firstLine="1418"/>
        <w:jc w:val="both"/>
        <w:rPr>
          <w:sz w:val="22"/>
          <w:szCs w:val="22"/>
        </w:rPr>
      </w:pPr>
      <w:r w:rsidRPr="0092482F">
        <w:rPr>
          <w:sz w:val="22"/>
          <w:szCs w:val="22"/>
        </w:rPr>
        <w:t xml:space="preserve">Art. 1º Designar os empregados </w:t>
      </w:r>
      <w:r w:rsidR="00D824B3" w:rsidRPr="0092482F">
        <w:rPr>
          <w:sz w:val="22"/>
          <w:szCs w:val="22"/>
        </w:rPr>
        <w:t xml:space="preserve">Juliana Castro </w:t>
      </w:r>
      <w:r w:rsidRPr="0092482F">
        <w:rPr>
          <w:sz w:val="22"/>
          <w:szCs w:val="22"/>
        </w:rPr>
        <w:t xml:space="preserve">(presidente), </w:t>
      </w:r>
      <w:r w:rsidR="00B26CF3">
        <w:rPr>
          <w:sz w:val="22"/>
          <w:szCs w:val="22"/>
        </w:rPr>
        <w:t>Marcos Alfredo Gonzaga Júnior</w:t>
      </w:r>
      <w:r w:rsidR="00D824B3" w:rsidRPr="0092482F">
        <w:rPr>
          <w:sz w:val="22"/>
          <w:szCs w:val="22"/>
        </w:rPr>
        <w:t xml:space="preserve"> </w:t>
      </w:r>
      <w:r w:rsidRPr="0092482F">
        <w:rPr>
          <w:sz w:val="22"/>
          <w:szCs w:val="22"/>
        </w:rPr>
        <w:t xml:space="preserve">(substituto do presidente), </w:t>
      </w:r>
      <w:r w:rsidR="00B26CF3">
        <w:rPr>
          <w:sz w:val="22"/>
          <w:szCs w:val="22"/>
        </w:rPr>
        <w:t xml:space="preserve">Raquel Ribeiro Rodrigues, </w:t>
      </w:r>
      <w:r w:rsidRPr="0092482F">
        <w:rPr>
          <w:sz w:val="22"/>
          <w:szCs w:val="22"/>
        </w:rPr>
        <w:t>Ana Paula Ferreira Santos, Vicente José Madeira de Freitas</w:t>
      </w:r>
      <w:r w:rsidR="00D824B3">
        <w:rPr>
          <w:sz w:val="22"/>
          <w:szCs w:val="22"/>
        </w:rPr>
        <w:t>,</w:t>
      </w:r>
      <w:r w:rsidRPr="0092482F">
        <w:rPr>
          <w:sz w:val="22"/>
          <w:szCs w:val="22"/>
        </w:rPr>
        <w:t xml:space="preserve"> </w:t>
      </w:r>
      <w:proofErr w:type="spellStart"/>
      <w:r w:rsidRPr="0092482F">
        <w:rPr>
          <w:sz w:val="22"/>
          <w:szCs w:val="22"/>
        </w:rPr>
        <w:t>Andrey</w:t>
      </w:r>
      <w:proofErr w:type="spellEnd"/>
      <w:r w:rsidRPr="0092482F">
        <w:rPr>
          <w:sz w:val="22"/>
          <w:szCs w:val="22"/>
        </w:rPr>
        <w:t xml:space="preserve"> </w:t>
      </w:r>
      <w:proofErr w:type="spellStart"/>
      <w:r w:rsidRPr="0092482F">
        <w:rPr>
          <w:sz w:val="22"/>
          <w:szCs w:val="22"/>
        </w:rPr>
        <w:t>Moab</w:t>
      </w:r>
      <w:proofErr w:type="spellEnd"/>
      <w:r w:rsidRPr="0092482F">
        <w:rPr>
          <w:sz w:val="22"/>
          <w:szCs w:val="22"/>
        </w:rPr>
        <w:t xml:space="preserve"> </w:t>
      </w:r>
      <w:proofErr w:type="spellStart"/>
      <w:r w:rsidRPr="0092482F">
        <w:rPr>
          <w:sz w:val="22"/>
          <w:szCs w:val="22"/>
        </w:rPr>
        <w:t>Bacry</w:t>
      </w:r>
      <w:proofErr w:type="spellEnd"/>
      <w:r w:rsidRPr="0092482F">
        <w:rPr>
          <w:sz w:val="22"/>
          <w:szCs w:val="22"/>
        </w:rPr>
        <w:t xml:space="preserve"> de Oliveira</w:t>
      </w:r>
      <w:r w:rsidR="00B26CF3">
        <w:rPr>
          <w:sz w:val="22"/>
          <w:szCs w:val="22"/>
        </w:rPr>
        <w:t>,</w:t>
      </w:r>
      <w:r w:rsidR="00D824B3">
        <w:rPr>
          <w:sz w:val="22"/>
          <w:szCs w:val="22"/>
        </w:rPr>
        <w:t xml:space="preserve"> </w:t>
      </w:r>
      <w:r w:rsidRPr="0092482F">
        <w:rPr>
          <w:sz w:val="22"/>
          <w:szCs w:val="22"/>
        </w:rPr>
        <w:t xml:space="preserve">para compor a Comissão Permanente de Licitação do </w:t>
      </w:r>
      <w:proofErr w:type="gramStart"/>
      <w:r w:rsidRPr="0092482F">
        <w:rPr>
          <w:sz w:val="22"/>
          <w:szCs w:val="22"/>
        </w:rPr>
        <w:t>Crea</w:t>
      </w:r>
      <w:proofErr w:type="gramEnd"/>
      <w:r w:rsidRPr="0092482F">
        <w:rPr>
          <w:sz w:val="22"/>
          <w:szCs w:val="22"/>
        </w:rPr>
        <w:t>-DF, nos termos da Lei n.º 8.666, de 21 de junho de 1993.</w:t>
      </w:r>
    </w:p>
    <w:p w:rsidR="0092482F" w:rsidRPr="0092482F" w:rsidRDefault="0092482F" w:rsidP="0092482F">
      <w:pPr>
        <w:pStyle w:val="Recuodecorpodetexto2"/>
        <w:spacing w:line="240" w:lineRule="auto"/>
        <w:ind w:left="0" w:firstLine="1418"/>
        <w:jc w:val="both"/>
        <w:rPr>
          <w:sz w:val="22"/>
          <w:szCs w:val="22"/>
        </w:rPr>
      </w:pPr>
      <w:r w:rsidRPr="0092482F">
        <w:rPr>
          <w:sz w:val="22"/>
          <w:szCs w:val="22"/>
        </w:rPr>
        <w:t>Art. 2º A Comissão Permanente de Licitação possui a função de receber, examinar e julgar todos os documentos e procedimentos relativos às licitações e ao cadastramento de licitantes.</w:t>
      </w:r>
    </w:p>
    <w:p w:rsidR="0092482F" w:rsidRPr="0092482F" w:rsidRDefault="0092482F" w:rsidP="0092482F">
      <w:pPr>
        <w:pStyle w:val="Recuodecorpodetexto2"/>
        <w:spacing w:line="240" w:lineRule="auto"/>
        <w:ind w:left="0" w:firstLine="1418"/>
        <w:jc w:val="both"/>
        <w:rPr>
          <w:sz w:val="22"/>
          <w:szCs w:val="22"/>
        </w:rPr>
      </w:pPr>
      <w:r w:rsidRPr="0092482F">
        <w:rPr>
          <w:sz w:val="22"/>
          <w:szCs w:val="22"/>
        </w:rPr>
        <w:t>Art. 3º deverá pautar suas ações com base na Lei nº 8.666, de 1993.</w:t>
      </w:r>
    </w:p>
    <w:p w:rsidR="0092482F" w:rsidRPr="0092482F" w:rsidRDefault="0092482F" w:rsidP="0092482F">
      <w:pPr>
        <w:pStyle w:val="Recuodecorpodetexto2"/>
        <w:spacing w:line="240" w:lineRule="auto"/>
        <w:ind w:left="0" w:firstLine="1418"/>
        <w:jc w:val="both"/>
        <w:rPr>
          <w:sz w:val="22"/>
          <w:szCs w:val="22"/>
        </w:rPr>
      </w:pPr>
      <w:r w:rsidRPr="0092482F">
        <w:rPr>
          <w:sz w:val="22"/>
          <w:szCs w:val="22"/>
        </w:rPr>
        <w:t>Art. 4º A investidura dos membros da Comissão Permanente de Licitação será de um ano, conforme previsto no § 4º do art. 51 da Lei nº 8.666, de 1993.</w:t>
      </w:r>
    </w:p>
    <w:p w:rsidR="0092482F" w:rsidRPr="0092482F" w:rsidRDefault="0092482F" w:rsidP="0092482F">
      <w:pPr>
        <w:pStyle w:val="Recuodecorpodetexto2"/>
        <w:spacing w:line="240" w:lineRule="auto"/>
        <w:ind w:left="0" w:firstLine="1418"/>
        <w:jc w:val="both"/>
        <w:rPr>
          <w:sz w:val="22"/>
          <w:szCs w:val="22"/>
        </w:rPr>
      </w:pPr>
      <w:r w:rsidRPr="0092482F">
        <w:rPr>
          <w:sz w:val="22"/>
          <w:szCs w:val="22"/>
        </w:rPr>
        <w:t xml:space="preserve">Art. 5º A Comissão Permanente de Licitação poderá contar com o assessoramento técnico durante as sessões licitatórias de pelo menos 01 (um) dos seguintes colaboradores: Sérgio Gonçalves dos Santos, Marcelo </w:t>
      </w:r>
      <w:proofErr w:type="spellStart"/>
      <w:r w:rsidRPr="0092482F">
        <w:rPr>
          <w:sz w:val="22"/>
          <w:szCs w:val="22"/>
        </w:rPr>
        <w:t>Tollendal</w:t>
      </w:r>
      <w:proofErr w:type="spellEnd"/>
      <w:r w:rsidRPr="0092482F">
        <w:rPr>
          <w:sz w:val="22"/>
          <w:szCs w:val="22"/>
        </w:rPr>
        <w:t xml:space="preserve"> Alvarenga, Wilson </w:t>
      </w:r>
      <w:proofErr w:type="spellStart"/>
      <w:r w:rsidRPr="0092482F">
        <w:rPr>
          <w:sz w:val="22"/>
          <w:szCs w:val="22"/>
        </w:rPr>
        <w:t>Xaxier</w:t>
      </w:r>
      <w:proofErr w:type="spellEnd"/>
      <w:r w:rsidRPr="0092482F">
        <w:rPr>
          <w:sz w:val="22"/>
          <w:szCs w:val="22"/>
        </w:rPr>
        <w:t xml:space="preserve"> Dias e </w:t>
      </w:r>
      <w:proofErr w:type="spellStart"/>
      <w:r w:rsidR="00B26CF3">
        <w:rPr>
          <w:sz w:val="22"/>
          <w:szCs w:val="22"/>
        </w:rPr>
        <w:t>Allison</w:t>
      </w:r>
      <w:proofErr w:type="spellEnd"/>
      <w:r w:rsidR="00B26CF3">
        <w:rPr>
          <w:sz w:val="22"/>
          <w:szCs w:val="22"/>
        </w:rPr>
        <w:t xml:space="preserve"> Barbosa de Souza</w:t>
      </w:r>
      <w:r w:rsidRPr="0092482F">
        <w:rPr>
          <w:sz w:val="22"/>
          <w:szCs w:val="22"/>
        </w:rPr>
        <w:t>.</w:t>
      </w:r>
    </w:p>
    <w:p w:rsidR="0092482F" w:rsidRPr="0092482F" w:rsidRDefault="0092482F" w:rsidP="0092482F">
      <w:pPr>
        <w:pStyle w:val="Recuodecorpodetexto2"/>
        <w:spacing w:line="240" w:lineRule="auto"/>
        <w:ind w:left="0" w:firstLine="1418"/>
        <w:jc w:val="both"/>
        <w:rPr>
          <w:sz w:val="22"/>
          <w:szCs w:val="22"/>
        </w:rPr>
      </w:pPr>
      <w:r w:rsidRPr="0092482F">
        <w:rPr>
          <w:sz w:val="22"/>
          <w:szCs w:val="22"/>
        </w:rPr>
        <w:t xml:space="preserve">Art. 6ª Fica revogada a Portaria AD nº </w:t>
      </w:r>
      <w:r w:rsidR="00B26CF3">
        <w:rPr>
          <w:sz w:val="22"/>
          <w:szCs w:val="22"/>
        </w:rPr>
        <w:t>215</w:t>
      </w:r>
      <w:r w:rsidRPr="0092482F">
        <w:rPr>
          <w:sz w:val="22"/>
          <w:szCs w:val="22"/>
        </w:rPr>
        <w:t>/201</w:t>
      </w:r>
      <w:r w:rsidR="00B26CF3">
        <w:rPr>
          <w:sz w:val="22"/>
          <w:szCs w:val="22"/>
        </w:rPr>
        <w:t>7</w:t>
      </w:r>
      <w:r w:rsidRPr="0092482F">
        <w:rPr>
          <w:sz w:val="22"/>
          <w:szCs w:val="22"/>
        </w:rPr>
        <w:t xml:space="preserve">. </w:t>
      </w:r>
    </w:p>
    <w:p w:rsidR="0092482F" w:rsidRPr="0092482F" w:rsidRDefault="0092482F" w:rsidP="0092482F">
      <w:pPr>
        <w:pStyle w:val="Recuodecorpodetexto2"/>
        <w:spacing w:line="240" w:lineRule="auto"/>
        <w:ind w:left="0" w:firstLine="1418"/>
        <w:jc w:val="both"/>
        <w:rPr>
          <w:sz w:val="22"/>
          <w:szCs w:val="22"/>
        </w:rPr>
      </w:pPr>
      <w:r w:rsidRPr="0092482F">
        <w:rPr>
          <w:sz w:val="22"/>
          <w:szCs w:val="22"/>
        </w:rPr>
        <w:t>Art. 7º Esta portaria entra em vigor a partir da sua assinatura.</w:t>
      </w:r>
    </w:p>
    <w:p w:rsidR="0092482F" w:rsidRPr="0092482F" w:rsidRDefault="0092482F" w:rsidP="0092482F">
      <w:pPr>
        <w:pStyle w:val="Recuodecorpodetexto"/>
        <w:ind w:firstLine="1418"/>
        <w:rPr>
          <w:sz w:val="22"/>
          <w:szCs w:val="22"/>
        </w:rPr>
      </w:pPr>
      <w:r w:rsidRPr="0092482F">
        <w:rPr>
          <w:sz w:val="22"/>
          <w:szCs w:val="22"/>
        </w:rPr>
        <w:t>Cientifique-se e cumpra-se.</w:t>
      </w:r>
    </w:p>
    <w:p w:rsidR="0092482F" w:rsidRPr="0092482F" w:rsidRDefault="0092482F" w:rsidP="0092482F">
      <w:pPr>
        <w:ind w:firstLine="709"/>
        <w:jc w:val="right"/>
        <w:rPr>
          <w:sz w:val="22"/>
          <w:szCs w:val="22"/>
        </w:rPr>
      </w:pPr>
      <w:r w:rsidRPr="0092482F">
        <w:rPr>
          <w:sz w:val="22"/>
          <w:szCs w:val="22"/>
        </w:rPr>
        <w:t>Brasília-DF, 2</w:t>
      </w:r>
      <w:r w:rsidR="00B26CF3">
        <w:rPr>
          <w:sz w:val="22"/>
          <w:szCs w:val="22"/>
        </w:rPr>
        <w:t>6</w:t>
      </w:r>
      <w:r w:rsidRPr="0092482F">
        <w:rPr>
          <w:sz w:val="22"/>
          <w:szCs w:val="22"/>
        </w:rPr>
        <w:t xml:space="preserve"> de </w:t>
      </w:r>
      <w:r w:rsidR="00B26CF3">
        <w:rPr>
          <w:sz w:val="22"/>
          <w:szCs w:val="22"/>
        </w:rPr>
        <w:t>dezembro</w:t>
      </w:r>
      <w:r w:rsidRPr="0092482F">
        <w:rPr>
          <w:sz w:val="22"/>
          <w:szCs w:val="22"/>
        </w:rPr>
        <w:t xml:space="preserve"> de 201</w:t>
      </w:r>
      <w:r w:rsidR="00D824B3">
        <w:rPr>
          <w:sz w:val="22"/>
          <w:szCs w:val="22"/>
        </w:rPr>
        <w:t>7</w:t>
      </w:r>
      <w:r w:rsidRPr="0092482F">
        <w:rPr>
          <w:sz w:val="22"/>
          <w:szCs w:val="22"/>
        </w:rPr>
        <w:t>.</w:t>
      </w:r>
    </w:p>
    <w:p w:rsidR="0092482F" w:rsidRPr="0092482F" w:rsidRDefault="00B26CF3" w:rsidP="00B26CF3">
      <w:pPr>
        <w:ind w:firstLine="709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3543300" cy="581025"/>
            <wp:effectExtent l="1905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82F" w:rsidRPr="0092482F" w:rsidRDefault="0092482F" w:rsidP="0092482F">
      <w:pPr>
        <w:pStyle w:val="Ttulo1"/>
        <w:spacing w:before="12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2482F">
        <w:rPr>
          <w:rFonts w:ascii="Times New Roman" w:hAnsi="Times New Roman" w:cs="Times New Roman"/>
          <w:b w:val="0"/>
          <w:sz w:val="22"/>
          <w:szCs w:val="22"/>
        </w:rPr>
        <w:t>Eng. Flávio Correia de Sousa</w:t>
      </w:r>
    </w:p>
    <w:p w:rsidR="0092482F" w:rsidRPr="0092482F" w:rsidRDefault="0092482F" w:rsidP="0092482F">
      <w:pPr>
        <w:pStyle w:val="Ttulo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2482F">
        <w:rPr>
          <w:rFonts w:ascii="Times New Roman" w:hAnsi="Times New Roman" w:cs="Times New Roman"/>
          <w:b w:val="0"/>
          <w:sz w:val="22"/>
          <w:szCs w:val="22"/>
        </w:rPr>
        <w:t>Presidente</w:t>
      </w:r>
    </w:p>
    <w:p w:rsidR="0092482F" w:rsidRPr="0092482F" w:rsidRDefault="00D97256" w:rsidP="00D97256">
      <w:pPr>
        <w:ind w:left="284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419225" cy="438150"/>
            <wp:effectExtent l="19050" t="0" r="9525" b="0"/>
            <wp:docPr id="5" name="Imagem 4" descr="U:\Valmirseveriano\ass_valmirseveri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Valmirseveriano\ass_valmirseverian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82" w:type="dxa"/>
        <w:tblLook w:val="04A0"/>
      </w:tblPr>
      <w:tblGrid>
        <w:gridCol w:w="3184"/>
        <w:gridCol w:w="2736"/>
        <w:gridCol w:w="3662"/>
      </w:tblGrid>
      <w:tr w:rsidR="0092482F" w:rsidRPr="0092482F" w:rsidTr="00B26CF3">
        <w:tc>
          <w:tcPr>
            <w:tcW w:w="3184" w:type="dxa"/>
          </w:tcPr>
          <w:p w:rsidR="0092482F" w:rsidRPr="0092482F" w:rsidRDefault="00B26CF3" w:rsidP="00B26C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Valmir de Lima Severiano</w:t>
            </w:r>
          </w:p>
          <w:p w:rsidR="0092482F" w:rsidRPr="0092482F" w:rsidRDefault="00D824B3" w:rsidP="00B26C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</w:t>
            </w:r>
          </w:p>
        </w:tc>
        <w:tc>
          <w:tcPr>
            <w:tcW w:w="2736" w:type="dxa"/>
          </w:tcPr>
          <w:p w:rsidR="0092482F" w:rsidRPr="0092482F" w:rsidRDefault="0092482F" w:rsidP="00B26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92482F" w:rsidRPr="0092482F" w:rsidRDefault="0092482F" w:rsidP="00B26CF3">
            <w:pPr>
              <w:jc w:val="center"/>
              <w:rPr>
                <w:sz w:val="22"/>
                <w:szCs w:val="22"/>
              </w:rPr>
            </w:pPr>
          </w:p>
        </w:tc>
      </w:tr>
    </w:tbl>
    <w:p w:rsidR="00443D36" w:rsidRPr="0092482F" w:rsidRDefault="00443D36" w:rsidP="0092482F">
      <w:pPr>
        <w:rPr>
          <w:sz w:val="22"/>
          <w:szCs w:val="22"/>
        </w:rPr>
      </w:pPr>
    </w:p>
    <w:sectPr w:rsidR="00443D36" w:rsidRPr="0092482F" w:rsidSect="003D23A0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851" w:right="851" w:bottom="851" w:left="170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CF3" w:rsidRDefault="00B26CF3">
      <w:r>
        <w:separator/>
      </w:r>
    </w:p>
  </w:endnote>
  <w:endnote w:type="continuationSeparator" w:id="0">
    <w:p w:rsidR="00B26CF3" w:rsidRDefault="00B26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98" w:type="dxa"/>
      <w:tblInd w:w="66" w:type="dxa"/>
      <w:tblBorders>
        <w:top w:val="single" w:sz="4" w:space="0" w:color="auto"/>
      </w:tblBorders>
      <w:tblLayout w:type="fixed"/>
      <w:tblLook w:val="04A0"/>
    </w:tblPr>
    <w:tblGrid>
      <w:gridCol w:w="2736"/>
      <w:gridCol w:w="1417"/>
      <w:gridCol w:w="4111"/>
      <w:gridCol w:w="1134"/>
    </w:tblGrid>
    <w:tr w:rsidR="00B26CF3" w:rsidRPr="00B9037D" w:rsidTr="00CC78D7">
      <w:trPr>
        <w:trHeight w:val="780"/>
      </w:trPr>
      <w:tc>
        <w:tcPr>
          <w:tcW w:w="2736" w:type="dxa"/>
          <w:tcBorders>
            <w:top w:val="nil"/>
            <w:left w:val="nil"/>
            <w:right w:val="nil"/>
          </w:tcBorders>
          <w:vAlign w:val="center"/>
          <w:hideMark/>
        </w:tcPr>
        <w:p w:rsidR="00B26CF3" w:rsidRDefault="00B26CF3" w:rsidP="00BA7E97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621790" cy="365760"/>
                <wp:effectExtent l="19050" t="0" r="0" b="0"/>
                <wp:docPr id="2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</w: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  <w:hideMark/>
        </w:tcPr>
        <w:p w:rsidR="00B26CF3" w:rsidRPr="00B9037D" w:rsidRDefault="00B26CF3" w:rsidP="00BA7E97">
          <w:pPr>
            <w:pStyle w:val="Rodap"/>
            <w:ind w:left="-108" w:right="-108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532765" cy="334010"/>
                <wp:effectExtent l="19050" t="0" r="635" b="0"/>
                <wp:docPr id="3" name="Imagem 2" descr="Logo_P&amp;B Iso_Crea-D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P&amp;B Iso_Crea-D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65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nil"/>
            <w:left w:val="nil"/>
            <w:right w:val="nil"/>
          </w:tcBorders>
          <w:vAlign w:val="center"/>
        </w:tcPr>
        <w:p w:rsidR="00B26CF3" w:rsidRPr="00B9037D" w:rsidRDefault="00B26CF3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B9037D">
            <w:rPr>
              <w:sz w:val="12"/>
              <w:szCs w:val="12"/>
            </w:rPr>
            <w:t xml:space="preserve">SGAS </w:t>
          </w:r>
          <w:proofErr w:type="spellStart"/>
          <w:r w:rsidRPr="00B9037D">
            <w:rPr>
              <w:sz w:val="12"/>
              <w:szCs w:val="12"/>
            </w:rPr>
            <w:t>Qd</w:t>
          </w:r>
          <w:proofErr w:type="spellEnd"/>
          <w:r w:rsidRPr="00B9037D">
            <w:rPr>
              <w:sz w:val="12"/>
              <w:szCs w:val="12"/>
            </w:rPr>
            <w:t>. 901 Conj. D - Brasília-DF - CEP 70390-010</w:t>
          </w:r>
        </w:p>
        <w:p w:rsidR="00B26CF3" w:rsidRDefault="00B26CF3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proofErr w:type="spellStart"/>
          <w:r w:rsidRPr="00B9037D">
            <w:rPr>
              <w:sz w:val="12"/>
              <w:szCs w:val="12"/>
            </w:rPr>
            <w:t>Tel</w:t>
          </w:r>
          <w:proofErr w:type="spellEnd"/>
          <w:r w:rsidRPr="00B9037D">
            <w:rPr>
              <w:sz w:val="12"/>
              <w:szCs w:val="12"/>
            </w:rPr>
            <w:t>: +55 (61) 3961-</w:t>
          </w:r>
          <w:r>
            <w:rPr>
              <w:sz w:val="12"/>
              <w:szCs w:val="12"/>
            </w:rPr>
            <w:t>2802</w:t>
          </w:r>
        </w:p>
        <w:p w:rsidR="00B26CF3" w:rsidRPr="00B9037D" w:rsidRDefault="00B26CF3" w:rsidP="0092482F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creadf</w:t>
          </w:r>
          <w:r w:rsidRPr="00B9037D">
            <w:rPr>
              <w:sz w:val="12"/>
              <w:szCs w:val="12"/>
            </w:rPr>
            <w:t>@creadf.org.br</w:t>
          </w:r>
        </w:p>
        <w:p w:rsidR="00B26CF3" w:rsidRPr="00B9037D" w:rsidRDefault="00B26CF3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712DF2">
            <w:rPr>
              <w:sz w:val="12"/>
              <w:szCs w:val="12"/>
            </w:rPr>
            <w:t>www.creadf.org.br</w:t>
          </w: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:rsidR="00B26CF3" w:rsidRPr="00B9037D" w:rsidRDefault="00B26CF3" w:rsidP="00BA7E97">
          <w:pPr>
            <w:pStyle w:val="Rodap"/>
            <w:ind w:left="-108"/>
            <w:jc w:val="right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Fl</w:t>
          </w:r>
          <w:proofErr w:type="spellEnd"/>
          <w:r>
            <w:rPr>
              <w:sz w:val="14"/>
              <w:szCs w:val="14"/>
            </w:rPr>
            <w:t xml:space="preserve">: </w:t>
          </w:r>
          <w:proofErr w:type="gramStart"/>
          <w:r>
            <w:rPr>
              <w:sz w:val="14"/>
              <w:szCs w:val="14"/>
            </w:rPr>
            <w:t>0</w:t>
          </w:r>
          <w:proofErr w:type="gramEnd"/>
          <w:r w:rsidRPr="00C37155">
            <w:rPr>
              <w:sz w:val="14"/>
              <w:szCs w:val="14"/>
            </w:rPr>
            <w:fldChar w:fldCharType="begin"/>
          </w:r>
          <w:r w:rsidRPr="00C37155">
            <w:rPr>
              <w:sz w:val="14"/>
              <w:szCs w:val="14"/>
            </w:rPr>
            <w:instrText xml:space="preserve"> PAGE   \* MERGEFORMAT </w:instrText>
          </w:r>
          <w:r w:rsidRPr="00C37155">
            <w:rPr>
              <w:sz w:val="14"/>
              <w:szCs w:val="14"/>
            </w:rPr>
            <w:fldChar w:fldCharType="separate"/>
          </w:r>
          <w:r w:rsidR="0036192E">
            <w:rPr>
              <w:noProof/>
              <w:sz w:val="14"/>
              <w:szCs w:val="14"/>
            </w:rPr>
            <w:t>1</w:t>
          </w:r>
          <w:r w:rsidRPr="00C37155">
            <w:rPr>
              <w:sz w:val="14"/>
              <w:szCs w:val="14"/>
            </w:rPr>
            <w:fldChar w:fldCharType="end"/>
          </w:r>
        </w:p>
      </w:tc>
    </w:tr>
  </w:tbl>
  <w:p w:rsidR="00B26CF3" w:rsidRPr="00057DD1" w:rsidRDefault="00B26CF3" w:rsidP="005F1E8A">
    <w:pPr>
      <w:pStyle w:val="Rodap"/>
      <w:rPr>
        <w:sz w:val="2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CF3" w:rsidRDefault="00B26CF3">
      <w:r>
        <w:separator/>
      </w:r>
    </w:p>
  </w:footnote>
  <w:footnote w:type="continuationSeparator" w:id="0">
    <w:p w:rsidR="00B26CF3" w:rsidRDefault="00B26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CF3" w:rsidRDefault="00B26CF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5pt;height:500.35pt;z-index:-251658240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CF3" w:rsidRDefault="00B26CF3" w:rsidP="005F1E8A">
    <w:pPr>
      <w:pStyle w:val="Cabealho"/>
      <w:jc w:val="center"/>
    </w:pPr>
    <w:r>
      <w:rPr>
        <w:rFonts w:ascii="Arial" w:hAnsi="Arial" w:cs="Arial"/>
        <w:noProof/>
      </w:rPr>
      <w:drawing>
        <wp:inline distT="0" distB="0" distL="0" distR="0">
          <wp:extent cx="826770" cy="810895"/>
          <wp:effectExtent l="19050" t="0" r="0" b="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26CF3" w:rsidRPr="00BB22FF" w:rsidRDefault="00B26CF3" w:rsidP="005F1E8A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SERVIÇO PÚBLICO FEDERAL</w:t>
    </w:r>
  </w:p>
  <w:p w:rsidR="00B26CF3" w:rsidRDefault="00B26CF3" w:rsidP="005F1E8A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Conselho Regional de Engenharia</w:t>
    </w:r>
    <w:r w:rsidRPr="00BB22FF">
      <w:rPr>
        <w:rFonts w:ascii="Arial" w:hAnsi="Arial" w:cs="Arial"/>
        <w:b/>
        <w:sz w:val="24"/>
      </w:rPr>
      <w:t xml:space="preserve"> e Agronomia do Distrito Federal</w:t>
    </w:r>
  </w:p>
  <w:p w:rsidR="00B26CF3" w:rsidRPr="00B17487" w:rsidRDefault="00B26CF3" w:rsidP="007F2020">
    <w:pPr>
      <w:pStyle w:val="Cabealho"/>
      <w:jc w:val="center"/>
      <w:rPr>
        <w:rFonts w:ascii="Arial" w:hAnsi="Arial" w:cs="Arial"/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CF3" w:rsidRDefault="00B26CF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5pt;height:500.35pt;z-index:-251659264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5610D"/>
    <w:multiLevelType w:val="hybridMultilevel"/>
    <w:tmpl w:val="3670D9EE"/>
    <w:lvl w:ilvl="0" w:tplc="96DC154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528152C3"/>
    <w:multiLevelType w:val="hybridMultilevel"/>
    <w:tmpl w:val="094AA2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736FF0"/>
    <w:multiLevelType w:val="hybridMultilevel"/>
    <w:tmpl w:val="C07A960C"/>
    <w:lvl w:ilvl="0" w:tplc="D650344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60074374"/>
    <w:multiLevelType w:val="hybridMultilevel"/>
    <w:tmpl w:val="10389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F1FAC"/>
    <w:multiLevelType w:val="hybridMultilevel"/>
    <w:tmpl w:val="F25C53D8"/>
    <w:lvl w:ilvl="0" w:tplc="0416000F">
      <w:start w:val="1"/>
      <w:numFmt w:val="decimal"/>
      <w:lvlText w:val="%1."/>
      <w:lvlJc w:val="left"/>
      <w:pPr>
        <w:ind w:left="1206" w:hanging="360"/>
      </w:pPr>
    </w:lvl>
    <w:lvl w:ilvl="1" w:tplc="04160019" w:tentative="1">
      <w:start w:val="1"/>
      <w:numFmt w:val="lowerLetter"/>
      <w:lvlText w:val="%2."/>
      <w:lvlJc w:val="left"/>
      <w:pPr>
        <w:ind w:left="1926" w:hanging="360"/>
      </w:pPr>
    </w:lvl>
    <w:lvl w:ilvl="2" w:tplc="0416001B" w:tentative="1">
      <w:start w:val="1"/>
      <w:numFmt w:val="lowerRoman"/>
      <w:lvlText w:val="%3."/>
      <w:lvlJc w:val="right"/>
      <w:pPr>
        <w:ind w:left="2646" w:hanging="180"/>
      </w:pPr>
    </w:lvl>
    <w:lvl w:ilvl="3" w:tplc="0416000F" w:tentative="1">
      <w:start w:val="1"/>
      <w:numFmt w:val="decimal"/>
      <w:lvlText w:val="%4."/>
      <w:lvlJc w:val="left"/>
      <w:pPr>
        <w:ind w:left="3366" w:hanging="360"/>
      </w:pPr>
    </w:lvl>
    <w:lvl w:ilvl="4" w:tplc="04160019" w:tentative="1">
      <w:start w:val="1"/>
      <w:numFmt w:val="lowerLetter"/>
      <w:lvlText w:val="%5."/>
      <w:lvlJc w:val="left"/>
      <w:pPr>
        <w:ind w:left="4086" w:hanging="360"/>
      </w:pPr>
    </w:lvl>
    <w:lvl w:ilvl="5" w:tplc="0416001B" w:tentative="1">
      <w:start w:val="1"/>
      <w:numFmt w:val="lowerRoman"/>
      <w:lvlText w:val="%6."/>
      <w:lvlJc w:val="right"/>
      <w:pPr>
        <w:ind w:left="4806" w:hanging="180"/>
      </w:pPr>
    </w:lvl>
    <w:lvl w:ilvl="6" w:tplc="0416000F" w:tentative="1">
      <w:start w:val="1"/>
      <w:numFmt w:val="decimal"/>
      <w:lvlText w:val="%7."/>
      <w:lvlJc w:val="left"/>
      <w:pPr>
        <w:ind w:left="5526" w:hanging="360"/>
      </w:pPr>
    </w:lvl>
    <w:lvl w:ilvl="7" w:tplc="04160019" w:tentative="1">
      <w:start w:val="1"/>
      <w:numFmt w:val="lowerLetter"/>
      <w:lvlText w:val="%8."/>
      <w:lvlJc w:val="left"/>
      <w:pPr>
        <w:ind w:left="6246" w:hanging="360"/>
      </w:pPr>
    </w:lvl>
    <w:lvl w:ilvl="8" w:tplc="0416001B" w:tentative="1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61EE"/>
    <w:rsid w:val="00013A33"/>
    <w:rsid w:val="000154E9"/>
    <w:rsid w:val="000252A0"/>
    <w:rsid w:val="00034F15"/>
    <w:rsid w:val="00042307"/>
    <w:rsid w:val="00042FBB"/>
    <w:rsid w:val="00064EE9"/>
    <w:rsid w:val="00075249"/>
    <w:rsid w:val="000924BA"/>
    <w:rsid w:val="000B6A9E"/>
    <w:rsid w:val="000C33AC"/>
    <w:rsid w:val="000D65F1"/>
    <w:rsid w:val="000E2B1F"/>
    <w:rsid w:val="000E47E7"/>
    <w:rsid w:val="000E53EA"/>
    <w:rsid w:val="000F39EC"/>
    <w:rsid w:val="000F7D8A"/>
    <w:rsid w:val="00102695"/>
    <w:rsid w:val="00102F8C"/>
    <w:rsid w:val="001041E2"/>
    <w:rsid w:val="00105C67"/>
    <w:rsid w:val="0012343A"/>
    <w:rsid w:val="00125DE8"/>
    <w:rsid w:val="00136303"/>
    <w:rsid w:val="001363DA"/>
    <w:rsid w:val="001429AC"/>
    <w:rsid w:val="00173183"/>
    <w:rsid w:val="001818BA"/>
    <w:rsid w:val="001B48F0"/>
    <w:rsid w:val="001C28C4"/>
    <w:rsid w:val="001C4E9A"/>
    <w:rsid w:val="001C7C89"/>
    <w:rsid w:val="001D5161"/>
    <w:rsid w:val="001D62EA"/>
    <w:rsid w:val="001D6BF3"/>
    <w:rsid w:val="001F022C"/>
    <w:rsid w:val="001F41C1"/>
    <w:rsid w:val="001F6485"/>
    <w:rsid w:val="001F6B6E"/>
    <w:rsid w:val="001F7B9C"/>
    <w:rsid w:val="002051F9"/>
    <w:rsid w:val="00205E0C"/>
    <w:rsid w:val="0021030F"/>
    <w:rsid w:val="00213528"/>
    <w:rsid w:val="00224B51"/>
    <w:rsid w:val="00227082"/>
    <w:rsid w:val="0023090C"/>
    <w:rsid w:val="00254864"/>
    <w:rsid w:val="00254971"/>
    <w:rsid w:val="00264DA0"/>
    <w:rsid w:val="00267173"/>
    <w:rsid w:val="0027236D"/>
    <w:rsid w:val="0027735F"/>
    <w:rsid w:val="00277895"/>
    <w:rsid w:val="0028394E"/>
    <w:rsid w:val="00297BA6"/>
    <w:rsid w:val="002B129F"/>
    <w:rsid w:val="002B7897"/>
    <w:rsid w:val="002C13ED"/>
    <w:rsid w:val="002C3DEB"/>
    <w:rsid w:val="002C7A52"/>
    <w:rsid w:val="002C7AF0"/>
    <w:rsid w:val="002D0504"/>
    <w:rsid w:val="002D1108"/>
    <w:rsid w:val="002D28B9"/>
    <w:rsid w:val="002D488A"/>
    <w:rsid w:val="002E68EE"/>
    <w:rsid w:val="002F02EF"/>
    <w:rsid w:val="00315E5D"/>
    <w:rsid w:val="00324AD0"/>
    <w:rsid w:val="003451C8"/>
    <w:rsid w:val="00346D93"/>
    <w:rsid w:val="00356B0A"/>
    <w:rsid w:val="0036192E"/>
    <w:rsid w:val="00361A7E"/>
    <w:rsid w:val="00362831"/>
    <w:rsid w:val="003711DE"/>
    <w:rsid w:val="003773EC"/>
    <w:rsid w:val="0037769D"/>
    <w:rsid w:val="00377C4C"/>
    <w:rsid w:val="003D23A0"/>
    <w:rsid w:val="003E456F"/>
    <w:rsid w:val="003E5BA9"/>
    <w:rsid w:val="004135A0"/>
    <w:rsid w:val="0042284A"/>
    <w:rsid w:val="00426B4B"/>
    <w:rsid w:val="00443D36"/>
    <w:rsid w:val="00447B9D"/>
    <w:rsid w:val="004533C2"/>
    <w:rsid w:val="00454534"/>
    <w:rsid w:val="004748FB"/>
    <w:rsid w:val="0048019F"/>
    <w:rsid w:val="004848D6"/>
    <w:rsid w:val="004936E8"/>
    <w:rsid w:val="004A036D"/>
    <w:rsid w:val="004B28B4"/>
    <w:rsid w:val="004B53CE"/>
    <w:rsid w:val="004C1676"/>
    <w:rsid w:val="004C46B5"/>
    <w:rsid w:val="004C6CB7"/>
    <w:rsid w:val="004D296E"/>
    <w:rsid w:val="005019C3"/>
    <w:rsid w:val="00502885"/>
    <w:rsid w:val="005044A3"/>
    <w:rsid w:val="00506372"/>
    <w:rsid w:val="005078B2"/>
    <w:rsid w:val="005159DD"/>
    <w:rsid w:val="005250F3"/>
    <w:rsid w:val="00535C87"/>
    <w:rsid w:val="005546E5"/>
    <w:rsid w:val="00555FB4"/>
    <w:rsid w:val="00564ABC"/>
    <w:rsid w:val="00585C41"/>
    <w:rsid w:val="00592442"/>
    <w:rsid w:val="005948B8"/>
    <w:rsid w:val="00597F88"/>
    <w:rsid w:val="005A069E"/>
    <w:rsid w:val="005A5524"/>
    <w:rsid w:val="005A61F2"/>
    <w:rsid w:val="005D0AD8"/>
    <w:rsid w:val="005D2C8E"/>
    <w:rsid w:val="005D7CCE"/>
    <w:rsid w:val="005E0113"/>
    <w:rsid w:val="005E2FB1"/>
    <w:rsid w:val="005F1E8A"/>
    <w:rsid w:val="005F51C6"/>
    <w:rsid w:val="005F5C9A"/>
    <w:rsid w:val="005F7EFA"/>
    <w:rsid w:val="006106F1"/>
    <w:rsid w:val="00611D15"/>
    <w:rsid w:val="006316E1"/>
    <w:rsid w:val="00632A95"/>
    <w:rsid w:val="00645DDD"/>
    <w:rsid w:val="00646710"/>
    <w:rsid w:val="00651263"/>
    <w:rsid w:val="00654D46"/>
    <w:rsid w:val="0066329D"/>
    <w:rsid w:val="00670507"/>
    <w:rsid w:val="006A5AB2"/>
    <w:rsid w:val="006B228B"/>
    <w:rsid w:val="006C103E"/>
    <w:rsid w:val="006C3D20"/>
    <w:rsid w:val="006C59B1"/>
    <w:rsid w:val="006E42D3"/>
    <w:rsid w:val="006E7A32"/>
    <w:rsid w:val="00706A23"/>
    <w:rsid w:val="00721431"/>
    <w:rsid w:val="007237E1"/>
    <w:rsid w:val="00725D42"/>
    <w:rsid w:val="00734151"/>
    <w:rsid w:val="00741DFE"/>
    <w:rsid w:val="00753612"/>
    <w:rsid w:val="007538CC"/>
    <w:rsid w:val="00756160"/>
    <w:rsid w:val="007602A9"/>
    <w:rsid w:val="00764432"/>
    <w:rsid w:val="007657AA"/>
    <w:rsid w:val="0077175F"/>
    <w:rsid w:val="00777303"/>
    <w:rsid w:val="00780CCD"/>
    <w:rsid w:val="007827C7"/>
    <w:rsid w:val="007A5A60"/>
    <w:rsid w:val="007B10C0"/>
    <w:rsid w:val="007B1111"/>
    <w:rsid w:val="007B4A3D"/>
    <w:rsid w:val="007D0B83"/>
    <w:rsid w:val="007D46B4"/>
    <w:rsid w:val="007D4841"/>
    <w:rsid w:val="007E0096"/>
    <w:rsid w:val="007E0210"/>
    <w:rsid w:val="007F0FC0"/>
    <w:rsid w:val="007F1B26"/>
    <w:rsid w:val="007F2020"/>
    <w:rsid w:val="00816696"/>
    <w:rsid w:val="00823710"/>
    <w:rsid w:val="008477D8"/>
    <w:rsid w:val="008524ED"/>
    <w:rsid w:val="00867F0A"/>
    <w:rsid w:val="00870734"/>
    <w:rsid w:val="008829BE"/>
    <w:rsid w:val="00887B1E"/>
    <w:rsid w:val="00892CB5"/>
    <w:rsid w:val="00893D5D"/>
    <w:rsid w:val="00894C75"/>
    <w:rsid w:val="008961D3"/>
    <w:rsid w:val="008B467B"/>
    <w:rsid w:val="008B540B"/>
    <w:rsid w:val="008D27D3"/>
    <w:rsid w:val="008E2E9F"/>
    <w:rsid w:val="008F0DDF"/>
    <w:rsid w:val="008F3B3D"/>
    <w:rsid w:val="00903E5A"/>
    <w:rsid w:val="00907AE4"/>
    <w:rsid w:val="00910551"/>
    <w:rsid w:val="00912D5B"/>
    <w:rsid w:val="009233F6"/>
    <w:rsid w:val="00923E65"/>
    <w:rsid w:val="0092482F"/>
    <w:rsid w:val="009320E9"/>
    <w:rsid w:val="00943CFA"/>
    <w:rsid w:val="00953860"/>
    <w:rsid w:val="00956172"/>
    <w:rsid w:val="00967BC6"/>
    <w:rsid w:val="009777E3"/>
    <w:rsid w:val="00981A37"/>
    <w:rsid w:val="00985AC7"/>
    <w:rsid w:val="00995E76"/>
    <w:rsid w:val="009A22FE"/>
    <w:rsid w:val="009A5A73"/>
    <w:rsid w:val="009B1079"/>
    <w:rsid w:val="009B1DF7"/>
    <w:rsid w:val="009C1113"/>
    <w:rsid w:val="009E28AD"/>
    <w:rsid w:val="009E4617"/>
    <w:rsid w:val="009E7645"/>
    <w:rsid w:val="009F0E40"/>
    <w:rsid w:val="009F788B"/>
    <w:rsid w:val="00A11875"/>
    <w:rsid w:val="00A14ABF"/>
    <w:rsid w:val="00A211E1"/>
    <w:rsid w:val="00A3142C"/>
    <w:rsid w:val="00A34EC6"/>
    <w:rsid w:val="00A47BE3"/>
    <w:rsid w:val="00A512C0"/>
    <w:rsid w:val="00A61E2A"/>
    <w:rsid w:val="00A729FF"/>
    <w:rsid w:val="00A75DCC"/>
    <w:rsid w:val="00A85634"/>
    <w:rsid w:val="00A85C11"/>
    <w:rsid w:val="00A87EFF"/>
    <w:rsid w:val="00AA0C0D"/>
    <w:rsid w:val="00AA4C6C"/>
    <w:rsid w:val="00AA7954"/>
    <w:rsid w:val="00AB621D"/>
    <w:rsid w:val="00AE26B0"/>
    <w:rsid w:val="00AE60AF"/>
    <w:rsid w:val="00B04A80"/>
    <w:rsid w:val="00B11A00"/>
    <w:rsid w:val="00B133FB"/>
    <w:rsid w:val="00B15622"/>
    <w:rsid w:val="00B23CC7"/>
    <w:rsid w:val="00B268B7"/>
    <w:rsid w:val="00B26CF3"/>
    <w:rsid w:val="00B27A41"/>
    <w:rsid w:val="00B42BEE"/>
    <w:rsid w:val="00B654FF"/>
    <w:rsid w:val="00B72D16"/>
    <w:rsid w:val="00B73C25"/>
    <w:rsid w:val="00B74520"/>
    <w:rsid w:val="00BA4ABC"/>
    <w:rsid w:val="00BA7E97"/>
    <w:rsid w:val="00BB1402"/>
    <w:rsid w:val="00BB6135"/>
    <w:rsid w:val="00BD0632"/>
    <w:rsid w:val="00BD1FD6"/>
    <w:rsid w:val="00BD2DFE"/>
    <w:rsid w:val="00BD3697"/>
    <w:rsid w:val="00BD3CA2"/>
    <w:rsid w:val="00BD48A8"/>
    <w:rsid w:val="00BD6F7C"/>
    <w:rsid w:val="00BE013F"/>
    <w:rsid w:val="00BF5F7A"/>
    <w:rsid w:val="00BF7B2A"/>
    <w:rsid w:val="00C00E18"/>
    <w:rsid w:val="00C050FC"/>
    <w:rsid w:val="00C20376"/>
    <w:rsid w:val="00C32E16"/>
    <w:rsid w:val="00C37205"/>
    <w:rsid w:val="00C4080C"/>
    <w:rsid w:val="00C41D0B"/>
    <w:rsid w:val="00C54CBD"/>
    <w:rsid w:val="00C631B1"/>
    <w:rsid w:val="00C660DE"/>
    <w:rsid w:val="00C66C2E"/>
    <w:rsid w:val="00C71CA3"/>
    <w:rsid w:val="00C760F4"/>
    <w:rsid w:val="00C80690"/>
    <w:rsid w:val="00C929F6"/>
    <w:rsid w:val="00CA1C28"/>
    <w:rsid w:val="00CA254A"/>
    <w:rsid w:val="00CA61EE"/>
    <w:rsid w:val="00CB1E06"/>
    <w:rsid w:val="00CB2626"/>
    <w:rsid w:val="00CC78D7"/>
    <w:rsid w:val="00CE3A15"/>
    <w:rsid w:val="00CE6D56"/>
    <w:rsid w:val="00CF17B3"/>
    <w:rsid w:val="00CF2584"/>
    <w:rsid w:val="00D23B7C"/>
    <w:rsid w:val="00D44261"/>
    <w:rsid w:val="00D47ADB"/>
    <w:rsid w:val="00D54268"/>
    <w:rsid w:val="00D6696D"/>
    <w:rsid w:val="00D8108D"/>
    <w:rsid w:val="00D81BB3"/>
    <w:rsid w:val="00D824B3"/>
    <w:rsid w:val="00D82E8D"/>
    <w:rsid w:val="00D97256"/>
    <w:rsid w:val="00DA2E77"/>
    <w:rsid w:val="00DB21FE"/>
    <w:rsid w:val="00DB30DD"/>
    <w:rsid w:val="00DB60C9"/>
    <w:rsid w:val="00DC50E2"/>
    <w:rsid w:val="00DD0E1F"/>
    <w:rsid w:val="00DD0FC8"/>
    <w:rsid w:val="00DD78B5"/>
    <w:rsid w:val="00DE2810"/>
    <w:rsid w:val="00DF33CF"/>
    <w:rsid w:val="00E01BAA"/>
    <w:rsid w:val="00E250ED"/>
    <w:rsid w:val="00E36F89"/>
    <w:rsid w:val="00E46F27"/>
    <w:rsid w:val="00E62FA0"/>
    <w:rsid w:val="00E72921"/>
    <w:rsid w:val="00E77356"/>
    <w:rsid w:val="00E92916"/>
    <w:rsid w:val="00EA3A22"/>
    <w:rsid w:val="00EA5F8D"/>
    <w:rsid w:val="00EA6C16"/>
    <w:rsid w:val="00EB2AC7"/>
    <w:rsid w:val="00EB538F"/>
    <w:rsid w:val="00EE0E8B"/>
    <w:rsid w:val="00EE5039"/>
    <w:rsid w:val="00EF361D"/>
    <w:rsid w:val="00F00821"/>
    <w:rsid w:val="00F0759F"/>
    <w:rsid w:val="00F07BA2"/>
    <w:rsid w:val="00F242A3"/>
    <w:rsid w:val="00F268DD"/>
    <w:rsid w:val="00F456BA"/>
    <w:rsid w:val="00F54C29"/>
    <w:rsid w:val="00F61362"/>
    <w:rsid w:val="00F800F9"/>
    <w:rsid w:val="00F85927"/>
    <w:rsid w:val="00F9072B"/>
    <w:rsid w:val="00F93290"/>
    <w:rsid w:val="00FA47C2"/>
    <w:rsid w:val="00FA4C4D"/>
    <w:rsid w:val="00FD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1EE"/>
  </w:style>
  <w:style w:type="paragraph" w:styleId="Ttulo1">
    <w:name w:val="heading 1"/>
    <w:basedOn w:val="Normal"/>
    <w:next w:val="Normal"/>
    <w:link w:val="Ttulo1Char"/>
    <w:qFormat/>
    <w:rsid w:val="009248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A61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rsid w:val="00CA61E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damensagemantes">
    <w:name w:val="Cabeç. da mensagem antes"/>
    <w:basedOn w:val="Cabealhodamensagem"/>
    <w:next w:val="Cabealhodamensagem"/>
    <w:rsid w:val="00CA61EE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</w:pPr>
    <w:rPr>
      <w:rFonts w:ascii="Times New Roman" w:hAnsi="Times New Roman" w:cs="Times New Roman"/>
      <w:sz w:val="20"/>
      <w:szCs w:val="20"/>
    </w:rPr>
  </w:style>
  <w:style w:type="paragraph" w:styleId="Cabealhodamensagem">
    <w:name w:val="Message Header"/>
    <w:basedOn w:val="Normal"/>
    <w:rsid w:val="00CA61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CA61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A61E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07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981A37"/>
  </w:style>
  <w:style w:type="character" w:customStyle="1" w:styleId="RodapChar">
    <w:name w:val="Rodapé Char"/>
    <w:basedOn w:val="Fontepargpadro"/>
    <w:link w:val="Rodap"/>
    <w:uiPriority w:val="99"/>
    <w:rsid w:val="00173183"/>
  </w:style>
  <w:style w:type="character" w:styleId="Hyperlink">
    <w:name w:val="Hyperlink"/>
    <w:basedOn w:val="Fontepargpadro"/>
    <w:rsid w:val="001731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961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961D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288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8B540B"/>
    <w:pPr>
      <w:widowControl w:val="0"/>
      <w:snapToGrid w:val="0"/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8B540B"/>
    <w:rPr>
      <w:sz w:val="24"/>
    </w:rPr>
  </w:style>
  <w:style w:type="paragraph" w:styleId="Recuodecorpodetexto">
    <w:name w:val="Body Text Indent"/>
    <w:basedOn w:val="Normal"/>
    <w:link w:val="RecuodecorpodetextoChar"/>
    <w:rsid w:val="009248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2482F"/>
  </w:style>
  <w:style w:type="character" w:customStyle="1" w:styleId="Ttulo1Char">
    <w:name w:val="Título 1 Char"/>
    <w:basedOn w:val="Fontepargpadro"/>
    <w:link w:val="Ttulo1"/>
    <w:rsid w:val="0092482F"/>
    <w:rPr>
      <w:rFonts w:ascii="Arial" w:hAnsi="Arial" w:cs="Arial"/>
      <w:b/>
      <w:bCs/>
      <w:kern w:val="32"/>
      <w:sz w:val="32"/>
      <w:szCs w:val="32"/>
    </w:rPr>
  </w:style>
  <w:style w:type="paragraph" w:styleId="Recuodecorpodetexto2">
    <w:name w:val="Body Text Indent 2"/>
    <w:basedOn w:val="Normal"/>
    <w:link w:val="Recuodecorpodetexto2Char"/>
    <w:rsid w:val="0092482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24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AEC21-390F-4231-B29B-83471EF8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001/2010 – SIS</vt:lpstr>
    </vt:vector>
  </TitlesOfParts>
  <Company>Hewlett-Packard Company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001/2010 – SIS</dc:title>
  <dc:creator>patty</dc:creator>
  <cp:lastModifiedBy>valmirseveriano</cp:lastModifiedBy>
  <cp:revision>5</cp:revision>
  <cp:lastPrinted>2017-12-27T19:44:00Z</cp:lastPrinted>
  <dcterms:created xsi:type="dcterms:W3CDTF">2017-12-27T19:36:00Z</dcterms:created>
  <dcterms:modified xsi:type="dcterms:W3CDTF">2017-12-27T19:45:00Z</dcterms:modified>
</cp:coreProperties>
</file>